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64AEE" w14:textId="110B38D1" w:rsidR="005D3A97" w:rsidRDefault="00317E9D">
      <w:r>
        <w:rPr>
          <w:noProof/>
        </w:rPr>
        <w:drawing>
          <wp:inline distT="0" distB="0" distL="0" distR="0" wp14:anchorId="58A3A58D" wp14:editId="2B0CCA39">
            <wp:extent cx="5731510" cy="40398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52D5" w14:textId="3755E604" w:rsidR="00317E9D" w:rsidRDefault="00317E9D">
      <w:pPr>
        <w:rPr>
          <w:rFonts w:ascii="Lato" w:hAnsi="Lato"/>
          <w:sz w:val="21"/>
          <w:szCs w:val="21"/>
          <w:shd w:val="clear" w:color="auto" w:fill="FFFFFF"/>
        </w:rPr>
      </w:pPr>
      <w:r>
        <w:rPr>
          <w:rFonts w:ascii="Lato" w:hAnsi="Lato"/>
          <w:sz w:val="21"/>
          <w:szCs w:val="21"/>
          <w:shd w:val="clear" w:color="auto" w:fill="FFFFFF"/>
        </w:rPr>
        <w:t>Palette of King Narmer, from Hierakonpolis, Egypt, Predynastic, c. 3000-2920 B.C.E., slate</w:t>
      </w:r>
    </w:p>
    <w:p w14:paraId="7565EBEF" w14:textId="3C6E4E41" w:rsidR="00317E9D" w:rsidRDefault="00317E9D">
      <w:r>
        <w:rPr>
          <w:noProof/>
        </w:rPr>
        <w:drawing>
          <wp:inline distT="0" distB="0" distL="0" distR="0" wp14:anchorId="3804C85E" wp14:editId="1E10BB3C">
            <wp:extent cx="5343525" cy="4007644"/>
            <wp:effectExtent l="0" t="0" r="0" b="0"/>
            <wp:docPr id="2" name="Picture 2" descr="Augustus of Primaporta, 1st century C.E., marble (Vatican Museum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gustus of Primaporta, 1st century C.E., marble (Vatican Museums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56" cy="401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CD792" w14:textId="3CA740C1" w:rsidR="00317E9D" w:rsidRDefault="00317E9D">
      <w:pPr>
        <w:rPr>
          <w:rFonts w:ascii="Lato" w:hAnsi="Lato"/>
          <w:sz w:val="21"/>
          <w:szCs w:val="21"/>
          <w:shd w:val="clear" w:color="auto" w:fill="FFFFFF"/>
        </w:rPr>
      </w:pPr>
      <w:r>
        <w:rPr>
          <w:rStyle w:val="Emphasis"/>
          <w:rFonts w:ascii="Lato" w:hAnsi="Lato"/>
          <w:sz w:val="21"/>
          <w:szCs w:val="21"/>
          <w:bdr w:val="none" w:sz="0" w:space="0" w:color="auto" w:frame="1"/>
          <w:shd w:val="clear" w:color="auto" w:fill="FFFFFF"/>
        </w:rPr>
        <w:t xml:space="preserve">Augustus of </w:t>
      </w:r>
      <w:proofErr w:type="spellStart"/>
      <w:r>
        <w:rPr>
          <w:rStyle w:val="Emphasis"/>
          <w:rFonts w:ascii="Lato" w:hAnsi="Lato"/>
          <w:sz w:val="21"/>
          <w:szCs w:val="21"/>
          <w:bdr w:val="none" w:sz="0" w:space="0" w:color="auto" w:frame="1"/>
          <w:shd w:val="clear" w:color="auto" w:fill="FFFFFF"/>
        </w:rPr>
        <w:t>Primaporta</w:t>
      </w:r>
      <w:proofErr w:type="spellEnd"/>
      <w:r>
        <w:rPr>
          <w:rFonts w:ascii="Lato" w:hAnsi="Lato"/>
          <w:sz w:val="21"/>
          <w:szCs w:val="21"/>
          <w:shd w:val="clear" w:color="auto" w:fill="FFFFFF"/>
        </w:rPr>
        <w:t>, 1st century C.E., marble</w:t>
      </w:r>
    </w:p>
    <w:p w14:paraId="776C01E7" w14:textId="3FDD064D" w:rsidR="00317E9D" w:rsidRDefault="00317E9D">
      <w:r>
        <w:rPr>
          <w:noProof/>
        </w:rPr>
        <w:lastRenderedPageBreak/>
        <w:drawing>
          <wp:inline distT="0" distB="0" distL="0" distR="0" wp14:anchorId="283EC9AB" wp14:editId="0C1C9717">
            <wp:extent cx="5731510" cy="34277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154F" w14:textId="77777777" w:rsidR="00317E9D" w:rsidRDefault="00317E9D">
      <w:r>
        <w:t>Alexander the Great (The only clear person to the left of the mosaic).</w:t>
      </w:r>
    </w:p>
    <w:p w14:paraId="6F1B607F" w14:textId="77777777" w:rsidR="00317E9D" w:rsidRDefault="00317E9D">
      <w:r>
        <w:rPr>
          <w:noProof/>
        </w:rPr>
        <w:drawing>
          <wp:inline distT="0" distB="0" distL="0" distR="0" wp14:anchorId="28ABDB1A" wp14:editId="2FD0E263">
            <wp:extent cx="5731510" cy="31178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CA017" w14:textId="77777777" w:rsidR="00317E9D" w:rsidRDefault="00317E9D">
      <w:r>
        <w:t xml:space="preserve">Leonardo’s ‘The Last Supper’. </w:t>
      </w:r>
    </w:p>
    <w:p w14:paraId="1D47939D" w14:textId="2096CA27" w:rsidR="00317E9D" w:rsidRDefault="00317E9D">
      <w:r>
        <w:rPr>
          <w:noProof/>
        </w:rPr>
        <w:lastRenderedPageBreak/>
        <w:drawing>
          <wp:inline distT="0" distB="0" distL="0" distR="0" wp14:anchorId="35886D68" wp14:editId="5F60D34B">
            <wp:extent cx="5731510" cy="65481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3D5EED7" w14:textId="6E600836" w:rsidR="00317E9D" w:rsidRDefault="00317E9D">
      <w:pP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</w:pPr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Diego Velázquez, </w:t>
      </w:r>
      <w:hyperlink r:id="rId9" w:tgtFrame="_blank" w:history="1">
        <w:r>
          <w:rPr>
            <w:rStyle w:val="Emphasis"/>
            <w:rFonts w:ascii="Source Sans Pro" w:hAnsi="Source Sans Pro"/>
            <w:b/>
            <w:bCs/>
            <w:color w:val="277CB4"/>
            <w:spacing w:val="6"/>
            <w:sz w:val="29"/>
            <w:szCs w:val="29"/>
          </w:rPr>
          <w:t>Las Meninas</w:t>
        </w:r>
      </w:hyperlink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, 1656</w:t>
      </w:r>
    </w:p>
    <w:p w14:paraId="7527F09B" w14:textId="15BF5272" w:rsidR="00317E9D" w:rsidRDefault="00317E9D">
      <w:r>
        <w:rPr>
          <w:noProof/>
        </w:rPr>
        <w:lastRenderedPageBreak/>
        <w:drawing>
          <wp:inline distT="0" distB="0" distL="0" distR="0" wp14:anchorId="66C4BD47" wp14:editId="6C445D61">
            <wp:extent cx="5731510" cy="28733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8ACC" w14:textId="0FE4F4F5" w:rsidR="00317E9D" w:rsidRDefault="00317E9D">
      <w:r>
        <w:t>Water Lilies – Claude Monet</w:t>
      </w:r>
    </w:p>
    <w:p w14:paraId="5D961D3D" w14:textId="418DFC7E" w:rsidR="00317E9D" w:rsidRDefault="00317E9D">
      <w:r>
        <w:rPr>
          <w:noProof/>
        </w:rPr>
        <w:drawing>
          <wp:inline distT="0" distB="0" distL="0" distR="0" wp14:anchorId="3332D568" wp14:editId="5A63CBCA">
            <wp:extent cx="5731510" cy="2440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4E21" w14:textId="3E701585" w:rsidR="00317E9D" w:rsidRDefault="00317E9D">
      <w:pP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</w:pPr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Georges Seurat, </w:t>
      </w:r>
      <w:hyperlink r:id="rId12" w:tgtFrame="_blank" w:history="1">
        <w:r>
          <w:rPr>
            <w:rStyle w:val="Emphasis"/>
            <w:rFonts w:ascii="Source Sans Pro" w:hAnsi="Source Sans Pro"/>
            <w:b/>
            <w:bCs/>
            <w:color w:val="277CB4"/>
            <w:spacing w:val="6"/>
            <w:sz w:val="29"/>
            <w:szCs w:val="29"/>
          </w:rPr>
          <w:t xml:space="preserve">A Sunday on La Grande </w:t>
        </w:r>
        <w:proofErr w:type="spellStart"/>
        <w:r>
          <w:rPr>
            <w:rStyle w:val="Emphasis"/>
            <w:rFonts w:ascii="Source Sans Pro" w:hAnsi="Source Sans Pro"/>
            <w:b/>
            <w:bCs/>
            <w:color w:val="277CB4"/>
            <w:spacing w:val="6"/>
            <w:sz w:val="29"/>
            <w:szCs w:val="29"/>
          </w:rPr>
          <w:t>Jatte</w:t>
        </w:r>
        <w:proofErr w:type="spellEnd"/>
      </w:hyperlink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, 1884</w:t>
      </w:r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 xml:space="preserve"> (Remember Pointillism) </w:t>
      </w:r>
    </w:p>
    <w:p w14:paraId="6CF67631" w14:textId="22C00194" w:rsidR="00317E9D" w:rsidRDefault="00317E9D">
      <w:r>
        <w:rPr>
          <w:noProof/>
        </w:rPr>
        <w:lastRenderedPageBreak/>
        <w:drawing>
          <wp:inline distT="0" distB="0" distL="0" distR="0" wp14:anchorId="610A8624" wp14:editId="1913AC27">
            <wp:extent cx="5731510" cy="4725670"/>
            <wp:effectExtent l="0" t="0" r="2540" b="0"/>
            <wp:docPr id="8" name="Picture 8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4117" w14:textId="146AF601" w:rsidR="00317E9D" w:rsidRDefault="00317E9D">
      <w:pP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</w:pPr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Henri Matisse, </w:t>
      </w:r>
      <w:hyperlink r:id="rId14" w:tgtFrame="_blank" w:history="1">
        <w:r>
          <w:rPr>
            <w:rStyle w:val="Emphasis"/>
            <w:rFonts w:ascii="Source Sans Pro" w:hAnsi="Source Sans Pro"/>
            <w:b/>
            <w:bCs/>
            <w:color w:val="277CB4"/>
            <w:spacing w:val="6"/>
            <w:sz w:val="29"/>
            <w:szCs w:val="29"/>
          </w:rPr>
          <w:t xml:space="preserve">Harmony in Red/La </w:t>
        </w:r>
        <w:proofErr w:type="spellStart"/>
        <w:r>
          <w:rPr>
            <w:rStyle w:val="Emphasis"/>
            <w:rFonts w:ascii="Source Sans Pro" w:hAnsi="Source Sans Pro"/>
            <w:b/>
            <w:bCs/>
            <w:color w:val="277CB4"/>
            <w:spacing w:val="6"/>
            <w:sz w:val="29"/>
            <w:szCs w:val="29"/>
          </w:rPr>
          <w:t>Desserte</w:t>
        </w:r>
        <w:proofErr w:type="spellEnd"/>
      </w:hyperlink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, 1908</w:t>
      </w:r>
    </w:p>
    <w:p w14:paraId="666C4D44" w14:textId="0DCA1EFD" w:rsidR="00317E9D" w:rsidRDefault="00317E9D">
      <w:r>
        <w:rPr>
          <w:noProof/>
        </w:rPr>
        <w:lastRenderedPageBreak/>
        <w:drawing>
          <wp:inline distT="0" distB="0" distL="0" distR="0" wp14:anchorId="51BF04F8" wp14:editId="2C0D6694">
            <wp:extent cx="2950126" cy="3714750"/>
            <wp:effectExtent l="0" t="0" r="3175" b="0"/>
            <wp:docPr id="9" name="Picture 9" descr="Edvard Munch, The Scream, 1910, tempera on board, 66 x 83 cm (The Munch Museum, Oslo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dvard Munch, The Scream, 1910, tempera on board, 66 x 83 cm (The Munch Museum, Oslo)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54" cy="37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8BC8" w14:textId="1C45C332" w:rsidR="00317E9D" w:rsidRDefault="00317E9D">
      <w:pPr>
        <w:rPr>
          <w:rFonts w:ascii="Lato" w:hAnsi="Lato"/>
          <w:sz w:val="21"/>
          <w:szCs w:val="21"/>
          <w:shd w:val="clear" w:color="auto" w:fill="FFFFFF"/>
        </w:rPr>
      </w:pPr>
      <w:r>
        <w:rPr>
          <w:rFonts w:ascii="Lato" w:hAnsi="Lato"/>
          <w:sz w:val="21"/>
          <w:szCs w:val="21"/>
          <w:shd w:val="clear" w:color="auto" w:fill="FFFFFF"/>
        </w:rPr>
        <w:t>Edvard Munch, </w:t>
      </w:r>
      <w:r>
        <w:rPr>
          <w:rStyle w:val="Emphasis"/>
          <w:rFonts w:ascii="Lato" w:hAnsi="Lato"/>
          <w:sz w:val="21"/>
          <w:szCs w:val="21"/>
          <w:bdr w:val="none" w:sz="0" w:space="0" w:color="auto" w:frame="1"/>
          <w:shd w:val="clear" w:color="auto" w:fill="FFFFFF"/>
        </w:rPr>
        <w:t>The Scream</w:t>
      </w:r>
      <w:r>
        <w:rPr>
          <w:rFonts w:ascii="Lato" w:hAnsi="Lato"/>
          <w:sz w:val="21"/>
          <w:szCs w:val="21"/>
          <w:shd w:val="clear" w:color="auto" w:fill="FFFFFF"/>
        </w:rPr>
        <w:t>, 1910</w:t>
      </w:r>
    </w:p>
    <w:p w14:paraId="3B5E215E" w14:textId="73D976CD" w:rsidR="00317E9D" w:rsidRDefault="00317E9D">
      <w:r>
        <w:rPr>
          <w:noProof/>
        </w:rPr>
        <w:drawing>
          <wp:inline distT="0" distB="0" distL="0" distR="0" wp14:anchorId="603CCCD9" wp14:editId="3FD54589">
            <wp:extent cx="5731510" cy="38741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F9519" w14:textId="1B1B6390" w:rsidR="00317E9D" w:rsidRDefault="00317E9D"/>
    <w:p w14:paraId="0787E194" w14:textId="77777777" w:rsidR="00317E9D" w:rsidRPr="00317E9D" w:rsidRDefault="00317E9D" w:rsidP="00317E9D">
      <w:pPr>
        <w:pBdr>
          <w:top w:val="single" w:sz="2" w:space="2" w:color="auto"/>
          <w:left w:val="single" w:sz="2" w:space="8" w:color="auto"/>
          <w:bottom w:val="single" w:sz="2" w:space="2" w:color="auto"/>
          <w:right w:val="single" w:sz="2" w:space="0" w:color="auto"/>
        </w:pBdr>
        <w:shd w:val="clear" w:color="auto" w:fill="000000"/>
        <w:spacing w:after="0" w:line="225" w:lineRule="atLeast"/>
        <w:outlineLvl w:val="2"/>
        <w:rPr>
          <w:rFonts w:ascii="Helvetica" w:eastAsia="Times New Roman" w:hAnsi="Helvetica" w:cs="Helvetica"/>
          <w:b/>
          <w:bCs/>
          <w:caps/>
          <w:color w:val="FFFFFF"/>
          <w:spacing w:val="23"/>
          <w:sz w:val="23"/>
          <w:szCs w:val="23"/>
          <w:lang w:eastAsia="en-IE"/>
        </w:rPr>
      </w:pPr>
      <w:r w:rsidRPr="00317E9D">
        <w:rPr>
          <w:rFonts w:ascii="Helvetica" w:eastAsia="Times New Roman" w:hAnsi="Helvetica" w:cs="Helvetica"/>
          <w:b/>
          <w:bCs/>
          <w:caps/>
          <w:color w:val="FFFFFF"/>
          <w:spacing w:val="23"/>
          <w:sz w:val="23"/>
          <w:szCs w:val="23"/>
          <w:lang w:eastAsia="en-IE"/>
        </w:rPr>
        <w:t>JOHN SINGER SARGENT - EL JALEO, 1882</w:t>
      </w:r>
    </w:p>
    <w:p w14:paraId="04C7593E" w14:textId="787FBCF5" w:rsidR="00317E9D" w:rsidRDefault="00317E9D"/>
    <w:p w14:paraId="5780EAA1" w14:textId="30B7845B" w:rsidR="00317E9D" w:rsidRDefault="00884C66">
      <w:r>
        <w:rPr>
          <w:noProof/>
        </w:rPr>
        <w:lastRenderedPageBreak/>
        <w:drawing>
          <wp:inline distT="0" distB="0" distL="0" distR="0" wp14:anchorId="790E113C" wp14:editId="35066907">
            <wp:extent cx="4382770" cy="55918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55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6F54" w14:textId="21B082A8" w:rsidR="00884C66" w:rsidRDefault="00884C66">
      <w:pPr>
        <w:rPr>
          <w:rStyle w:val="Emphasis"/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</w:pPr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Grant Wood, </w:t>
      </w:r>
      <w:hyperlink r:id="rId18" w:tgtFrame="_blank" w:history="1">
        <w:r>
          <w:rPr>
            <w:rStyle w:val="Emphasis"/>
            <w:rFonts w:ascii="Source Sans Pro" w:hAnsi="Source Sans Pro"/>
            <w:b/>
            <w:bCs/>
            <w:color w:val="277CB4"/>
            <w:spacing w:val="6"/>
            <w:sz w:val="29"/>
            <w:szCs w:val="29"/>
          </w:rPr>
          <w:t>American Gothic</w:t>
        </w:r>
      </w:hyperlink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, 1930</w:t>
      </w:r>
      <w:r>
        <w:rPr>
          <w:rStyle w:val="Emphasis"/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 </w:t>
      </w:r>
    </w:p>
    <w:p w14:paraId="0B911BB6" w14:textId="3A535BC9" w:rsidR="00884C66" w:rsidRDefault="00884C66">
      <w:r>
        <w:rPr>
          <w:noProof/>
        </w:rPr>
        <w:lastRenderedPageBreak/>
        <w:drawing>
          <wp:inline distT="0" distB="0" distL="0" distR="0" wp14:anchorId="1DAA7CF3" wp14:editId="22ABABCA">
            <wp:extent cx="5328920" cy="2911475"/>
            <wp:effectExtent l="0" t="0" r="5080" b="3175"/>
            <wp:docPr id="14" name="Picture 14" descr="Edward Hopper, Nighthawks, 1942, oil on canvas, 84.1 x 152.4 cm / 33-1/8 x 60 inches (Art Institute of Chicago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dward Hopper, Nighthawks, 1942, oil on canvas, 84.1 x 152.4 cm / 33-1/8 x 60 inches (Art Institute of Chicago)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Edward Hopper, </w:t>
      </w:r>
      <w:hyperlink r:id="rId20" w:tgtFrame="_blank" w:history="1">
        <w:r>
          <w:rPr>
            <w:rStyle w:val="Emphasis"/>
            <w:rFonts w:ascii="Source Sans Pro" w:hAnsi="Source Sans Pro"/>
            <w:b/>
            <w:bCs/>
            <w:color w:val="277CB4"/>
            <w:spacing w:val="6"/>
            <w:sz w:val="29"/>
            <w:szCs w:val="29"/>
          </w:rPr>
          <w:t>Nighthawks</w:t>
        </w:r>
      </w:hyperlink>
      <w:r>
        <w:rPr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, 1942</w:t>
      </w:r>
      <w:r>
        <w:rPr>
          <w:rStyle w:val="Emphasis"/>
          <w:rFonts w:ascii="Source Sans Pro" w:hAnsi="Source Sans Pro"/>
          <w:color w:val="4D4E4C"/>
          <w:spacing w:val="6"/>
          <w:sz w:val="29"/>
          <w:szCs w:val="29"/>
          <w:shd w:val="clear" w:color="auto" w:fill="FFFFFF"/>
        </w:rPr>
        <w:t> </w:t>
      </w:r>
    </w:p>
    <w:sectPr w:rsidR="00884C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9D"/>
    <w:rsid w:val="00317E9D"/>
    <w:rsid w:val="00884C66"/>
    <w:rsid w:val="00B0463F"/>
    <w:rsid w:val="00C322CA"/>
    <w:rsid w:val="00DA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890F5"/>
  <w15:chartTrackingRefBased/>
  <w15:docId w15:val="{0A508BBA-DDCB-47FA-B6C5-657757DE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17E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17E9D"/>
    <w:rPr>
      <w:i/>
      <w:iCs/>
    </w:rPr>
  </w:style>
  <w:style w:type="character" w:styleId="Strong">
    <w:name w:val="Strong"/>
    <w:basedOn w:val="DefaultParagraphFont"/>
    <w:uiPriority w:val="22"/>
    <w:qFormat/>
    <w:rsid w:val="00317E9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17E9D"/>
    <w:rPr>
      <w:rFonts w:ascii="Times New Roman" w:eastAsia="Times New Roman" w:hAnsi="Times New Roman" w:cs="Times New Roman"/>
      <w:b/>
      <w:bCs/>
      <w:sz w:val="27"/>
      <w:szCs w:val="27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08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hyperlink" Target="http://www.artic.edu/aic/collections/artwork/6565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://www.artic.edu/aic/collections/artwork/27992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khanacademy.org/humanities/art-1010/art-between-wars/american-art-wwII/a/hopper-nighthawks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s://www.museodelprado.es/en/the-collection/online-gallery/on-line-gallery/obra/the-family-of-felipe-iv-or-las-meninas/" TargetMode="External"/><Relationship Id="rId14" Type="http://schemas.openxmlformats.org/officeDocument/2006/relationships/hyperlink" Target="http://www.hermitagemuseum.org/wps/portal/hermitage/digital-collection/01.+Paintings/28389/?lng=e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Hickey</dc:creator>
  <cp:keywords/>
  <dc:description/>
  <cp:lastModifiedBy>David Hickey</cp:lastModifiedBy>
  <cp:revision>1</cp:revision>
  <dcterms:created xsi:type="dcterms:W3CDTF">2020-05-14T09:08:00Z</dcterms:created>
  <dcterms:modified xsi:type="dcterms:W3CDTF">2020-05-14T09:27:00Z</dcterms:modified>
</cp:coreProperties>
</file>